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proofErr w:type="spellStart"/>
      <w:r w:rsidRPr="00CC639F">
        <w:rPr>
          <w:rFonts w:ascii="Times New Roman" w:hAnsi="Times New Roman"/>
          <w:b/>
          <w:i/>
          <w:sz w:val="32"/>
          <w:szCs w:val="32"/>
        </w:rPr>
        <w:t>Митякинского</w:t>
      </w:r>
      <w:proofErr w:type="spellEnd"/>
      <w:r w:rsidRPr="00CC639F">
        <w:rPr>
          <w:rFonts w:ascii="Times New Roman" w:hAnsi="Times New Roman"/>
          <w:b/>
          <w:i/>
          <w:sz w:val="32"/>
          <w:szCs w:val="32"/>
        </w:rPr>
        <w:t xml:space="preserve"> сельского поселения Тарасовского района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</w:t>
      </w:r>
      <w:r w:rsidR="003B55A7">
        <w:rPr>
          <w:rFonts w:ascii="Times New Roman" w:hAnsi="Times New Roman"/>
          <w:b/>
          <w:i/>
          <w:sz w:val="32"/>
          <w:szCs w:val="32"/>
        </w:rPr>
        <w:t>2</w:t>
      </w:r>
      <w:r w:rsidR="00FF2F4A">
        <w:rPr>
          <w:rFonts w:ascii="Times New Roman" w:hAnsi="Times New Roman"/>
          <w:b/>
          <w:i/>
          <w:sz w:val="32"/>
          <w:szCs w:val="32"/>
        </w:rPr>
        <w:t>1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Тарасовского района</w:t>
      </w:r>
    </w:p>
    <w:p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31 281,3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31 711,9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1 539,5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1 071,0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сложился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430,6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562098"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101,7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объеме </w:t>
      </w:r>
      <w:r w:rsidR="00FF2F4A"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99,3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назначений.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показатели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20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732C69" w:rsidRPr="00CC639F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FF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9D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F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562098" w:rsidRPr="00CC639F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FF2F4A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32 820,8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FF2F4A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31 281,3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FF2F4A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95,3</w:t>
            </w: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4A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4 483,9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</w:tr>
      <w:tr w:rsidR="00FF2F4A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28 685,4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26 797,4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562098" w:rsidRPr="00CC639F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4A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7 435,7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FF2F4A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32 782,9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31 711,9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96,7</w:t>
            </w:r>
          </w:p>
        </w:tc>
      </w:tr>
      <w:tr w:rsidR="00FF2F4A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-430,6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4A" w:rsidRPr="00CC639F" w:rsidRDefault="00FF2F4A" w:rsidP="00FF2F4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 483,9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348,5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113,0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97731" w:rsidRDefault="002579EE" w:rsidP="0049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CC63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</w:t>
      </w:r>
      <w:r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2B1994"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D42B2B"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F6985"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 537,3</w:t>
      </w:r>
      <w:r w:rsidR="002B199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</w:t>
      </w:r>
      <w:r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F6985"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14,7</w:t>
      </w:r>
      <w:r w:rsidR="00497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F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F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доходов</w:t>
            </w:r>
          </w:p>
        </w:tc>
      </w:tr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313D0F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3 288,0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2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1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537,3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11,3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  <w:p w:rsidR="00EC5085" w:rsidRPr="00313D0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1 821,0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61262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5E1EEC"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77CF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313D0F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5E1EE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97731"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12628"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налог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49,9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31,6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9C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7,9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доходов, выполнены на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117,9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плановым назначениям.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налогам на 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(при плане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1 821,0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1 766,0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или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97,0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946,6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неналоговым доходам представлена в следующей таблице: </w:t>
      </w:r>
    </w:p>
    <w:p w:rsidR="002579EE" w:rsidRPr="00CC639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неналоговых доходах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E1EEC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E1EEC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E1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E1EEC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E1EEC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E1EEC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E1EEC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бюджетов сельских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  <w:p w:rsidR="00CE6A2D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E6A2D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CE6A2D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E1EEC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CE6A2D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E6A2D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612628" w:rsidRDefault="00CE6A2D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E1EEC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CE6A2D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E6A2D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612628" w:rsidRDefault="00CE6A2D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</w:tbl>
    <w:p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доходы от использования имущества, находящегося в государственной и муниципальной собственности.</w:t>
      </w: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26 797,4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7 435,7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240,4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19 121,3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31 711,9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 w:rsidR="00CF6985"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99,3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9C4AC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10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1 071,0</w:t>
      </w:r>
      <w:r w:rsidR="00CF69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общей сумме расходов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31 949,0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31 711,9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6 315,4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85" w:rsidRPr="00B55A27" w:rsidRDefault="00CF6985" w:rsidP="00CF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CF6985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E419CD" w:rsidRPr="00CC639F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10D0A" w:rsidRPr="00CC639F" w:rsidTr="000867E5">
        <w:trPr>
          <w:cantSplit/>
          <w:trHeight w:val="86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F6985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F6985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F6985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FD3E40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B502B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CF6985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3B502B" w:rsidRPr="00CC639F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16 654,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F6985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16 599,2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C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CF6985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CF698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FD3E40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626,9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155D2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E1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155D2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D2" w:rsidRPr="00CC639F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D2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1 651,0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D2" w:rsidRDefault="00C155D2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D2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D2" w:rsidRDefault="00C155D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6 148,2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>97,4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5 050,2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99,4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687F0C" w:rsidRPr="00CC639F" w:rsidRDefault="00687F0C" w:rsidP="00687F0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676,6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83,8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</w:p>
    <w:p w:rsidR="002F4EA9" w:rsidRPr="002F4EA9" w:rsidRDefault="002F4EA9" w:rsidP="002F4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мероприятий, проведенных в рамках муниципальных программ, утвержденных постановлениями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№ 155 «Об утверждении муниципальной программы «Информационное общество»»; № 157 от 26.12.2018 г. «Об утверждении муниципальной программы «Муниципальная политика». Данные средства направлены на расходы, связанные с направлением деятельности органов местного самоуправления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данных областях.</w:t>
      </w:r>
    </w:p>
    <w:p w:rsidR="002F4EA9" w:rsidRPr="002F4EA9" w:rsidRDefault="002F4EA9" w:rsidP="002F4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240,2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202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C689A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 «Мобилизационная и вневойсковая подготовка» на осуществление первичного воинского учета на территориях, где отсутствуют военные комиссариаты.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«Национальная безопасность и 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деятельность»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/>
        <w:jc w:val="both"/>
        <w:rPr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Расходы бюджета поселения по данно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18,5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92,5 процентов к плану 2021 года.</w:t>
      </w:r>
    </w:p>
    <w:p w:rsidR="002C689A" w:rsidRPr="00CC639F" w:rsidRDefault="002C689A" w:rsidP="002C689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sz w:val="24"/>
          <w:szCs w:val="24"/>
        </w:rPr>
        <w:t xml:space="preserve">           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осуществление расходов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«Обеспечение пожарной безопасности»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пожарного оборудования и снаряжения в рамках подпрограммы «Обеспечение пожарной безопасности в поселении» муниципальной программы « Защита населения и территории от чрезвычайных ситуаций, обеспечение пожарной безопасности и безопасности людей на водных объектах»,</w:t>
      </w:r>
      <w:r w:rsidRPr="00CC639F">
        <w:rPr>
          <w:sz w:val="24"/>
          <w:szCs w:val="24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14.12.2018  № 152.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33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B824E8" w:rsidRP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2 434,3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составляет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50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33E" w:rsidRPr="00741DE1" w:rsidRDefault="0035033E" w:rsidP="003503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редства направлены на осуществление Администрацией </w:t>
      </w:r>
      <w:proofErr w:type="spellStart"/>
      <w:r w:rsidRPr="00741DE1">
        <w:rPr>
          <w:rFonts w:ascii="Times New Roman" w:eastAsia="Times New Roman" w:hAnsi="Times New Roman" w:cs="Times New Roman"/>
          <w:sz w:val="24"/>
          <w:szCs w:val="24"/>
        </w:rPr>
        <w:t>Митякинского</w:t>
      </w:r>
      <w:proofErr w:type="spellEnd"/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данному разделу составили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16 599,2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99,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294,6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89,</w:t>
      </w:r>
      <w:proofErr w:type="gramStart"/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proofErr w:type="gram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167;</w:t>
      </w: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16 304,6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99,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</w:t>
      </w:r>
    </w:p>
    <w:p w:rsidR="002512E4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«Организация благоустройства территории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167, а также на мероприятия в рамках подпрограммы «Благоустройство общественных территорий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района» муниципальной программы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«Формирование комфортной городской среды в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муниципальном образовании  «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Тарасовского района Ростовской области», утвержденной Постановлением 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№ 156.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B824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3,5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 процентов к плану 202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</w:p>
    <w:p w:rsidR="00687F0C" w:rsidRPr="00B824E8" w:rsidRDefault="002F4EA9" w:rsidP="00B824E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г. № 157.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4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 614,9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99,7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F4EA9" w:rsidRDefault="002F4EA9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</w:t>
      </w:r>
      <w:r w:rsidRPr="002F4EA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.12.2018 г. № 154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C5F" w:rsidRDefault="00D21C5F" w:rsidP="00D21C5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C5F" w:rsidRPr="00CC639F" w:rsidRDefault="00D21C5F" w:rsidP="00D21C5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политика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21C5F" w:rsidRPr="00CC639F" w:rsidRDefault="00D21C5F" w:rsidP="00D21C5F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21C5F" w:rsidRPr="002F4EA9" w:rsidRDefault="00D21C5F" w:rsidP="00D21C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Социальное обеспечение населения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1 651,0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100,0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D21C5F" w:rsidRDefault="00D21C5F" w:rsidP="00D21C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непрограммных расходов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 счет средств резервного фонда Правительства Ростовской области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C5F" w:rsidRPr="002F4EA9" w:rsidRDefault="00D21C5F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 w:rsidR="00D21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ходов над </w:t>
      </w:r>
      <w:r w:rsidR="00D21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ходами, т.е. с </w:t>
      </w:r>
      <w:r w:rsidR="00544F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D21C5F">
        <w:rPr>
          <w:rFonts w:ascii="Times New Roman" w:eastAsia="Times New Roman" w:hAnsi="Times New Roman" w:cs="Times New Roman"/>
          <w:sz w:val="24"/>
          <w:szCs w:val="24"/>
          <w:lang w:eastAsia="ru-RU"/>
        </w:rPr>
        <w:t>430,6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B0A59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Куприенко</w:t>
            </w:r>
          </w:p>
        </w:tc>
        <w:bookmarkStart w:id="0" w:name="_GoBack"/>
        <w:bookmarkEnd w:id="0"/>
      </w:tr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2F4EA9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26"/>
    <w:rsid w:val="00061F5E"/>
    <w:rsid w:val="000867E5"/>
    <w:rsid w:val="000B0A59"/>
    <w:rsid w:val="0011727C"/>
    <w:rsid w:val="00143A4C"/>
    <w:rsid w:val="00165A6B"/>
    <w:rsid w:val="001C3815"/>
    <w:rsid w:val="001C48EB"/>
    <w:rsid w:val="001D4C33"/>
    <w:rsid w:val="001F69FE"/>
    <w:rsid w:val="002330E6"/>
    <w:rsid w:val="002512E4"/>
    <w:rsid w:val="002579EE"/>
    <w:rsid w:val="002600D6"/>
    <w:rsid w:val="002773DB"/>
    <w:rsid w:val="002976CA"/>
    <w:rsid w:val="00297A76"/>
    <w:rsid w:val="002A3734"/>
    <w:rsid w:val="002B1994"/>
    <w:rsid w:val="002C4517"/>
    <w:rsid w:val="002C689A"/>
    <w:rsid w:val="002D3850"/>
    <w:rsid w:val="002E5A33"/>
    <w:rsid w:val="002F4EA9"/>
    <w:rsid w:val="0031223C"/>
    <w:rsid w:val="00313D0F"/>
    <w:rsid w:val="00345591"/>
    <w:rsid w:val="0035033E"/>
    <w:rsid w:val="00357383"/>
    <w:rsid w:val="00377286"/>
    <w:rsid w:val="003B502B"/>
    <w:rsid w:val="003B55A7"/>
    <w:rsid w:val="003D503C"/>
    <w:rsid w:val="003D7A54"/>
    <w:rsid w:val="003E1B5D"/>
    <w:rsid w:val="004005C3"/>
    <w:rsid w:val="0041370C"/>
    <w:rsid w:val="00425B9B"/>
    <w:rsid w:val="00440039"/>
    <w:rsid w:val="0045650C"/>
    <w:rsid w:val="004910CB"/>
    <w:rsid w:val="00491AB1"/>
    <w:rsid w:val="00497731"/>
    <w:rsid w:val="004A559D"/>
    <w:rsid w:val="004B7DC3"/>
    <w:rsid w:val="004C2E52"/>
    <w:rsid w:val="004D4D56"/>
    <w:rsid w:val="004D6FBA"/>
    <w:rsid w:val="00502191"/>
    <w:rsid w:val="00515325"/>
    <w:rsid w:val="005433E8"/>
    <w:rsid w:val="00544FB4"/>
    <w:rsid w:val="005476FA"/>
    <w:rsid w:val="0055674C"/>
    <w:rsid w:val="00562098"/>
    <w:rsid w:val="005E1EEC"/>
    <w:rsid w:val="005E2656"/>
    <w:rsid w:val="006077CF"/>
    <w:rsid w:val="00612628"/>
    <w:rsid w:val="00626ADD"/>
    <w:rsid w:val="00645ED3"/>
    <w:rsid w:val="00687F0C"/>
    <w:rsid w:val="006A08DE"/>
    <w:rsid w:val="006B0D36"/>
    <w:rsid w:val="006E5EF4"/>
    <w:rsid w:val="006E68A8"/>
    <w:rsid w:val="006E6FEB"/>
    <w:rsid w:val="00710099"/>
    <w:rsid w:val="00710D0A"/>
    <w:rsid w:val="00721F3E"/>
    <w:rsid w:val="00732C69"/>
    <w:rsid w:val="0076557C"/>
    <w:rsid w:val="00773407"/>
    <w:rsid w:val="00775FC8"/>
    <w:rsid w:val="007D24DC"/>
    <w:rsid w:val="007F0A2F"/>
    <w:rsid w:val="00805709"/>
    <w:rsid w:val="00806753"/>
    <w:rsid w:val="00810795"/>
    <w:rsid w:val="00811F9C"/>
    <w:rsid w:val="00816613"/>
    <w:rsid w:val="00837B2C"/>
    <w:rsid w:val="00843D9D"/>
    <w:rsid w:val="008523BE"/>
    <w:rsid w:val="00856FCF"/>
    <w:rsid w:val="00872919"/>
    <w:rsid w:val="008B7F08"/>
    <w:rsid w:val="009C4AC1"/>
    <w:rsid w:val="009D4855"/>
    <w:rsid w:val="009F7296"/>
    <w:rsid w:val="00A066B0"/>
    <w:rsid w:val="00A543F0"/>
    <w:rsid w:val="00A6645E"/>
    <w:rsid w:val="00A74638"/>
    <w:rsid w:val="00AA579B"/>
    <w:rsid w:val="00AB03B9"/>
    <w:rsid w:val="00AB126C"/>
    <w:rsid w:val="00AB1AE4"/>
    <w:rsid w:val="00AD2A27"/>
    <w:rsid w:val="00AF4868"/>
    <w:rsid w:val="00B034CE"/>
    <w:rsid w:val="00B55A27"/>
    <w:rsid w:val="00B82092"/>
    <w:rsid w:val="00B824E8"/>
    <w:rsid w:val="00B864D5"/>
    <w:rsid w:val="00BE3C56"/>
    <w:rsid w:val="00C155D2"/>
    <w:rsid w:val="00C21E8E"/>
    <w:rsid w:val="00C26E89"/>
    <w:rsid w:val="00C3342E"/>
    <w:rsid w:val="00C41DD0"/>
    <w:rsid w:val="00C51BEF"/>
    <w:rsid w:val="00C6219B"/>
    <w:rsid w:val="00C86F9F"/>
    <w:rsid w:val="00CA53A8"/>
    <w:rsid w:val="00CB4679"/>
    <w:rsid w:val="00CC5085"/>
    <w:rsid w:val="00CC639F"/>
    <w:rsid w:val="00CD6531"/>
    <w:rsid w:val="00CE6A2D"/>
    <w:rsid w:val="00CE7BB8"/>
    <w:rsid w:val="00CF6985"/>
    <w:rsid w:val="00D21C5F"/>
    <w:rsid w:val="00D42B2B"/>
    <w:rsid w:val="00D50CA9"/>
    <w:rsid w:val="00D84AB6"/>
    <w:rsid w:val="00D85CFD"/>
    <w:rsid w:val="00D863F7"/>
    <w:rsid w:val="00D93B3D"/>
    <w:rsid w:val="00DE03E7"/>
    <w:rsid w:val="00DE6F0A"/>
    <w:rsid w:val="00DF3E93"/>
    <w:rsid w:val="00E1080C"/>
    <w:rsid w:val="00E11C08"/>
    <w:rsid w:val="00E147A1"/>
    <w:rsid w:val="00E4019E"/>
    <w:rsid w:val="00E419CD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7344B"/>
    <w:rsid w:val="00F83050"/>
    <w:rsid w:val="00F96F7C"/>
    <w:rsid w:val="00FC321A"/>
    <w:rsid w:val="00FC5085"/>
    <w:rsid w:val="00FD3E40"/>
    <w:rsid w:val="00FF2F4A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D81"/>
  <w15:docId w15:val="{14BAB1C0-C795-4232-AD7A-A3B5F291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54</cp:revision>
  <cp:lastPrinted>2022-02-09T10:29:00Z</cp:lastPrinted>
  <dcterms:created xsi:type="dcterms:W3CDTF">2014-02-18T11:28:00Z</dcterms:created>
  <dcterms:modified xsi:type="dcterms:W3CDTF">2022-03-21T05:12:00Z</dcterms:modified>
</cp:coreProperties>
</file>